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97D" w:rsidRPr="003026B7" w:rsidRDefault="003026B7" w:rsidP="000D5F94">
      <w:pPr>
        <w:spacing w:after="0" w:line="240" w:lineRule="auto"/>
        <w:jc w:val="center"/>
        <w:rPr>
          <w:b/>
          <w:color w:val="C00000"/>
          <w:sz w:val="28"/>
        </w:rPr>
      </w:pPr>
      <w:r w:rsidRPr="003026B7">
        <w:rPr>
          <w:b/>
          <w:color w:val="C00000"/>
          <w:sz w:val="28"/>
        </w:rPr>
        <w:t xml:space="preserve">UE8 – Item 268 – Reflux </w:t>
      </w:r>
      <w:r w:rsidRPr="003026B7">
        <w:rPr>
          <w:b/>
          <w:color w:val="C00000"/>
          <w:sz w:val="28"/>
        </w:rPr>
        <w:t>gastro-œsophagien</w:t>
      </w:r>
      <w:r w:rsidRPr="003026B7">
        <w:rPr>
          <w:b/>
          <w:color w:val="C00000"/>
          <w:sz w:val="28"/>
        </w:rPr>
        <w:t xml:space="preserve"> chez le </w:t>
      </w:r>
      <w:r w:rsidRPr="003026B7">
        <w:rPr>
          <w:b/>
          <w:color w:val="C00000"/>
          <w:sz w:val="28"/>
        </w:rPr>
        <w:t>nourrisson</w:t>
      </w:r>
      <w:r w:rsidRPr="003026B7">
        <w:rPr>
          <w:b/>
          <w:color w:val="C00000"/>
          <w:sz w:val="28"/>
        </w:rPr>
        <w:t>, l’enfant et l’adulte ; Hernie Hiatale</w:t>
      </w:r>
    </w:p>
    <w:p w:rsidR="003026B7" w:rsidRDefault="003026B7" w:rsidP="000D5F94">
      <w:pPr>
        <w:spacing w:after="0" w:line="240" w:lineRule="auto"/>
      </w:pPr>
    </w:p>
    <w:p w:rsidR="003026B7" w:rsidRPr="00B215A5" w:rsidRDefault="00B215A5" w:rsidP="000D5F94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B215A5">
        <w:rPr>
          <w:b/>
          <w:color w:val="FF0000"/>
          <w:sz w:val="24"/>
        </w:rPr>
        <w:t>Généralité et épidémiologie</w:t>
      </w:r>
    </w:p>
    <w:p w:rsidR="00B215A5" w:rsidRDefault="007769B7" w:rsidP="000D5F94">
      <w:pPr>
        <w:pStyle w:val="Paragraphedeliste"/>
        <w:numPr>
          <w:ilvl w:val="0"/>
          <w:numId w:val="2"/>
        </w:numPr>
        <w:spacing w:after="0" w:line="240" w:lineRule="auto"/>
      </w:pPr>
      <w:r w:rsidRPr="007769B7">
        <w:rPr>
          <w:u w:val="single"/>
        </w:rPr>
        <w:t>RGO</w:t>
      </w:r>
      <w:r>
        <w:t> : Passage à travers le cardia d’une partie di contenue gastrique dans l’œsophage en dehors de tout effort de vomissement</w:t>
      </w:r>
    </w:p>
    <w:p w:rsidR="007769B7" w:rsidRDefault="007769B7" w:rsidP="000D5F94">
      <w:pPr>
        <w:pStyle w:val="Paragraphedeliste"/>
        <w:numPr>
          <w:ilvl w:val="0"/>
          <w:numId w:val="2"/>
        </w:numPr>
        <w:spacing w:after="0" w:line="240" w:lineRule="auto"/>
      </w:pPr>
      <w:r w:rsidRPr="007769B7">
        <w:rPr>
          <w:u w:val="single"/>
        </w:rPr>
        <w:t>RGO pathologique</w:t>
      </w:r>
      <w:r>
        <w:t> : Présence de symptômes et/ou de lésions d’œsophagite</w:t>
      </w:r>
    </w:p>
    <w:p w:rsidR="001C7D06" w:rsidRDefault="001C7D06" w:rsidP="000D5F94">
      <w:pPr>
        <w:pStyle w:val="Paragraphedeliste"/>
        <w:numPr>
          <w:ilvl w:val="0"/>
          <w:numId w:val="2"/>
        </w:numPr>
        <w:spacing w:after="0" w:line="240" w:lineRule="auto"/>
      </w:pPr>
      <w:r w:rsidRPr="001C7D06">
        <w:t>40% des adultes se plaignent de pyrosis</w:t>
      </w:r>
    </w:p>
    <w:p w:rsidR="001C7D06" w:rsidRDefault="001C7D06" w:rsidP="000D5F94">
      <w:pPr>
        <w:pStyle w:val="Paragraphedeliste"/>
        <w:numPr>
          <w:ilvl w:val="1"/>
          <w:numId w:val="2"/>
        </w:numPr>
        <w:spacing w:after="0" w:line="240" w:lineRule="auto"/>
      </w:pPr>
      <w:r>
        <w:t>10% au moins hebdomadaire</w:t>
      </w:r>
    </w:p>
    <w:p w:rsidR="001C7D06" w:rsidRPr="001C7D06" w:rsidRDefault="001C7D06" w:rsidP="000D5F94">
      <w:pPr>
        <w:pStyle w:val="Paragraphedeliste"/>
        <w:numPr>
          <w:ilvl w:val="1"/>
          <w:numId w:val="2"/>
        </w:numPr>
        <w:spacing w:after="0" w:line="240" w:lineRule="auto"/>
      </w:pPr>
      <w:r>
        <w:t>5% quotidien</w:t>
      </w:r>
    </w:p>
    <w:p w:rsidR="004E34B8" w:rsidRDefault="004E34B8" w:rsidP="004E34B8">
      <w:pPr>
        <w:pStyle w:val="Paragraphedeliste"/>
        <w:numPr>
          <w:ilvl w:val="0"/>
          <w:numId w:val="2"/>
        </w:numPr>
        <w:spacing w:after="0" w:line="240" w:lineRule="auto"/>
      </w:pPr>
      <w:r>
        <w:t>Diagnostic différentiel : Syndrome de rumination</w:t>
      </w:r>
    </w:p>
    <w:p w:rsidR="00B215A5" w:rsidRDefault="00B215A5" w:rsidP="000D5F94">
      <w:pPr>
        <w:spacing w:after="0" w:line="240" w:lineRule="auto"/>
      </w:pPr>
    </w:p>
    <w:p w:rsidR="00B215A5" w:rsidRPr="00B215A5" w:rsidRDefault="00B215A5" w:rsidP="000D5F94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B215A5">
        <w:rPr>
          <w:b/>
          <w:color w:val="FF0000"/>
          <w:sz w:val="24"/>
        </w:rPr>
        <w:t>Physiopathologie</w:t>
      </w:r>
    </w:p>
    <w:p w:rsidR="00B215A5" w:rsidRPr="000D5F94" w:rsidRDefault="000D5F94" w:rsidP="000D5F94">
      <w:pPr>
        <w:pStyle w:val="Paragraphedeliste"/>
        <w:numPr>
          <w:ilvl w:val="0"/>
          <w:numId w:val="3"/>
        </w:numPr>
        <w:spacing w:after="0" w:line="240" w:lineRule="auto"/>
        <w:rPr>
          <w:b/>
          <w:i/>
          <w:color w:val="00B050"/>
          <w:u w:val="single"/>
        </w:rPr>
      </w:pPr>
      <w:r w:rsidRPr="000D5F94">
        <w:rPr>
          <w:b/>
          <w:i/>
          <w:color w:val="00B050"/>
          <w:u w:val="single"/>
        </w:rPr>
        <w:t xml:space="preserve">Défaillance de la barrière anti reflux </w:t>
      </w:r>
      <w:proofErr w:type="spellStart"/>
      <w:r w:rsidRPr="000D5F94">
        <w:rPr>
          <w:b/>
          <w:i/>
          <w:color w:val="00B050"/>
          <w:u w:val="single"/>
        </w:rPr>
        <w:t>oeso</w:t>
      </w:r>
      <w:proofErr w:type="spellEnd"/>
      <w:r w:rsidRPr="000D5F94">
        <w:rPr>
          <w:b/>
          <w:i/>
          <w:color w:val="00B050"/>
          <w:u w:val="single"/>
        </w:rPr>
        <w:t>-gastrique</w:t>
      </w:r>
    </w:p>
    <w:p w:rsidR="000D5F94" w:rsidRDefault="00FD6393" w:rsidP="00FD6393">
      <w:pPr>
        <w:pStyle w:val="Paragraphedeliste"/>
        <w:numPr>
          <w:ilvl w:val="0"/>
          <w:numId w:val="4"/>
        </w:numPr>
        <w:spacing w:after="0" w:line="240" w:lineRule="auto"/>
      </w:pPr>
      <w:r>
        <w:t>La barrière anti reflux est constituée du sphincter inférieur de l’œsophage (SIO)</w:t>
      </w:r>
    </w:p>
    <w:p w:rsidR="00FD6393" w:rsidRDefault="00FD6393" w:rsidP="00FD6393">
      <w:pPr>
        <w:pStyle w:val="Paragraphedeliste"/>
        <w:numPr>
          <w:ilvl w:val="1"/>
          <w:numId w:val="4"/>
        </w:numPr>
        <w:spacing w:after="0" w:line="240" w:lineRule="auto"/>
      </w:pPr>
      <w:r>
        <w:t>Zone de haute pression qui s’oppose au gradient de pression abdomino-pelvien</w:t>
      </w:r>
    </w:p>
    <w:p w:rsidR="00FD6393" w:rsidRDefault="00FD6393" w:rsidP="00FD6393">
      <w:pPr>
        <w:pStyle w:val="Paragraphedeliste"/>
        <w:numPr>
          <w:ilvl w:val="0"/>
          <w:numId w:val="4"/>
        </w:numPr>
        <w:spacing w:after="0" w:line="240" w:lineRule="auto"/>
      </w:pPr>
      <w:r>
        <w:t>La physiopathologie du RGO fait principalement intervenir la défaillance du SIO</w:t>
      </w:r>
    </w:p>
    <w:p w:rsidR="000D5F94" w:rsidRDefault="000D5F94" w:rsidP="000D5F94">
      <w:pPr>
        <w:spacing w:after="0" w:line="240" w:lineRule="auto"/>
      </w:pPr>
    </w:p>
    <w:p w:rsidR="000D5F94" w:rsidRPr="000D5F94" w:rsidRDefault="000D5F94" w:rsidP="000D5F94">
      <w:pPr>
        <w:pStyle w:val="Paragraphedeliste"/>
        <w:numPr>
          <w:ilvl w:val="0"/>
          <w:numId w:val="3"/>
        </w:numPr>
        <w:spacing w:after="0" w:line="240" w:lineRule="auto"/>
        <w:rPr>
          <w:b/>
          <w:i/>
          <w:color w:val="00B050"/>
          <w:u w:val="single"/>
        </w:rPr>
      </w:pPr>
      <w:r w:rsidRPr="000D5F94">
        <w:rPr>
          <w:b/>
          <w:i/>
          <w:color w:val="00B050"/>
          <w:u w:val="single"/>
        </w:rPr>
        <w:t>Autres facteurs possibles</w:t>
      </w:r>
    </w:p>
    <w:p w:rsidR="000D5F94" w:rsidRDefault="00E77F79" w:rsidP="00E77F79">
      <w:pPr>
        <w:pStyle w:val="Paragraphedeliste"/>
        <w:numPr>
          <w:ilvl w:val="0"/>
          <w:numId w:val="5"/>
        </w:numPr>
        <w:spacing w:after="0" w:line="240" w:lineRule="auto"/>
      </w:pPr>
      <w:r>
        <w:t>Hyperpression abdominale</w:t>
      </w:r>
    </w:p>
    <w:p w:rsidR="00E77F79" w:rsidRDefault="00E77F79" w:rsidP="00E77F79">
      <w:pPr>
        <w:pStyle w:val="Paragraphedeliste"/>
        <w:numPr>
          <w:ilvl w:val="0"/>
          <w:numId w:val="5"/>
        </w:numPr>
        <w:spacing w:after="0" w:line="240" w:lineRule="auto"/>
      </w:pPr>
      <w:r>
        <w:t>Stase gastrique</w:t>
      </w:r>
    </w:p>
    <w:p w:rsidR="000D5F94" w:rsidRDefault="000D5F94" w:rsidP="000D5F94">
      <w:pPr>
        <w:spacing w:after="0" w:line="240" w:lineRule="auto"/>
      </w:pPr>
    </w:p>
    <w:p w:rsidR="000D5F94" w:rsidRPr="000D5F94" w:rsidRDefault="000D5F94" w:rsidP="000D5F94">
      <w:pPr>
        <w:pStyle w:val="Paragraphedeliste"/>
        <w:numPr>
          <w:ilvl w:val="0"/>
          <w:numId w:val="3"/>
        </w:numPr>
        <w:spacing w:after="0" w:line="240" w:lineRule="auto"/>
        <w:rPr>
          <w:b/>
          <w:i/>
          <w:color w:val="00B050"/>
          <w:u w:val="single"/>
        </w:rPr>
      </w:pPr>
      <w:r w:rsidRPr="000D5F94">
        <w:rPr>
          <w:b/>
          <w:i/>
          <w:color w:val="00B050"/>
          <w:u w:val="single"/>
        </w:rPr>
        <w:t>Relation hernie hiatale et RGO</w:t>
      </w:r>
    </w:p>
    <w:p w:rsidR="00B215A5" w:rsidRDefault="00D8313D" w:rsidP="000E2217">
      <w:pPr>
        <w:pStyle w:val="Paragraphedeliste"/>
        <w:numPr>
          <w:ilvl w:val="0"/>
          <w:numId w:val="6"/>
        </w:numPr>
        <w:spacing w:after="0" w:line="240" w:lineRule="auto"/>
      </w:pPr>
      <w:r w:rsidRPr="00D8313D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2CEF7F10" wp14:editId="7AEA668B">
            <wp:simplePos x="0" y="0"/>
            <wp:positionH relativeFrom="margin">
              <wp:posOffset>4188460</wp:posOffset>
            </wp:positionH>
            <wp:positionV relativeFrom="paragraph">
              <wp:posOffset>273685</wp:posOffset>
            </wp:positionV>
            <wp:extent cx="2002790" cy="1065530"/>
            <wp:effectExtent l="0" t="0" r="0" b="1270"/>
            <wp:wrapTight wrapText="bothSides">
              <wp:wrapPolygon edited="0">
                <wp:start x="0" y="0"/>
                <wp:lineTo x="0" y="21240"/>
                <wp:lineTo x="21367" y="21240"/>
                <wp:lineTo x="21367" y="0"/>
                <wp:lineTo x="0" y="0"/>
              </wp:wrapPolygon>
            </wp:wrapTight>
            <wp:docPr id="1" name="Image 1" descr="C:\Users\pauline\Pictures\Screenshots\Capture d’écran (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Pictures\Screenshots\Capture d’écran (6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9" t="41570" r="49646" b="35438"/>
                    <a:stretch/>
                  </pic:blipFill>
                  <pic:spPr bwMode="auto">
                    <a:xfrm>
                      <a:off x="0" y="0"/>
                      <a:ext cx="200279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217">
        <w:t>Hernie hiatale : Protrusion permanente ou intermittente d’une partie de l’estomac dans le thorax à travers le hiatus œsophagien du diaphragme</w:t>
      </w:r>
    </w:p>
    <w:p w:rsidR="000E2217" w:rsidRDefault="000E2217" w:rsidP="000E2217">
      <w:pPr>
        <w:pStyle w:val="Paragraphedeliste"/>
        <w:numPr>
          <w:ilvl w:val="0"/>
          <w:numId w:val="6"/>
        </w:numPr>
        <w:spacing w:after="0" w:line="240" w:lineRule="auto"/>
      </w:pPr>
      <w:r>
        <w:t>Hernie hiatale par glissement</w:t>
      </w:r>
    </w:p>
    <w:p w:rsidR="000E2217" w:rsidRDefault="000E2217" w:rsidP="000E2217">
      <w:pPr>
        <w:pStyle w:val="Paragraphedeliste"/>
        <w:numPr>
          <w:ilvl w:val="1"/>
          <w:numId w:val="6"/>
        </w:numPr>
        <w:spacing w:after="0" w:line="240" w:lineRule="auto"/>
      </w:pPr>
      <w:r>
        <w:t>La plus fréquente (85%)</w:t>
      </w:r>
    </w:p>
    <w:p w:rsidR="000E2217" w:rsidRDefault="000E2217" w:rsidP="000E2217">
      <w:pPr>
        <w:pStyle w:val="Paragraphedeliste"/>
        <w:numPr>
          <w:ilvl w:val="1"/>
          <w:numId w:val="6"/>
        </w:numPr>
        <w:spacing w:after="0" w:line="240" w:lineRule="auto"/>
      </w:pPr>
      <w:r>
        <w:t>Le cardia est intra thoracique</w:t>
      </w:r>
    </w:p>
    <w:p w:rsidR="000E2217" w:rsidRDefault="000E2217" w:rsidP="000E2217">
      <w:pPr>
        <w:pStyle w:val="Paragraphedeliste"/>
        <w:numPr>
          <w:ilvl w:val="1"/>
          <w:numId w:val="6"/>
        </w:numPr>
        <w:spacing w:after="0" w:line="240" w:lineRule="auto"/>
      </w:pPr>
      <w:r>
        <w:t>Ni nécessaire ni suffisance pour expliquer un RGO</w:t>
      </w:r>
    </w:p>
    <w:p w:rsidR="000E2217" w:rsidRDefault="000E2217" w:rsidP="000E2217">
      <w:pPr>
        <w:pStyle w:val="Paragraphedeliste"/>
        <w:numPr>
          <w:ilvl w:val="0"/>
          <w:numId w:val="6"/>
        </w:numPr>
        <w:spacing w:after="0" w:line="240" w:lineRule="auto"/>
      </w:pPr>
      <w:r>
        <w:t>Hernie hiatale par roulement</w:t>
      </w:r>
    </w:p>
    <w:p w:rsidR="000E2217" w:rsidRDefault="000E2217" w:rsidP="000E2217">
      <w:pPr>
        <w:pStyle w:val="Paragraphedeliste"/>
        <w:numPr>
          <w:ilvl w:val="1"/>
          <w:numId w:val="6"/>
        </w:numPr>
        <w:spacing w:after="0" w:line="240" w:lineRule="auto"/>
      </w:pPr>
      <w:r>
        <w:t>Moins fréquente (15%)</w:t>
      </w:r>
    </w:p>
    <w:p w:rsidR="000E2217" w:rsidRDefault="000E2217" w:rsidP="000E2217">
      <w:pPr>
        <w:pStyle w:val="Paragraphedeliste"/>
        <w:numPr>
          <w:ilvl w:val="1"/>
          <w:numId w:val="6"/>
        </w:numPr>
        <w:spacing w:after="0" w:line="240" w:lineRule="auto"/>
      </w:pPr>
      <w:r>
        <w:t>La grosse tubérosité est intra thoracique et le cardia reste lui abdominal</w:t>
      </w:r>
    </w:p>
    <w:p w:rsidR="000E2217" w:rsidRDefault="000E2217" w:rsidP="000E2217">
      <w:pPr>
        <w:pStyle w:val="Paragraphedeliste"/>
        <w:numPr>
          <w:ilvl w:val="1"/>
          <w:numId w:val="6"/>
        </w:numPr>
        <w:spacing w:after="0" w:line="240" w:lineRule="auto"/>
      </w:pPr>
      <w:r>
        <w:t>N’a pas de lien avec le RGO mais peut conduit à un étranglement herniaire</w:t>
      </w:r>
    </w:p>
    <w:p w:rsidR="000D5F94" w:rsidRDefault="000D5F94" w:rsidP="000D5F94">
      <w:pPr>
        <w:spacing w:after="0" w:line="240" w:lineRule="auto"/>
      </w:pPr>
    </w:p>
    <w:p w:rsidR="00B215A5" w:rsidRPr="00B215A5" w:rsidRDefault="00B215A5" w:rsidP="000D5F94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B215A5">
        <w:rPr>
          <w:b/>
          <w:color w:val="FF0000"/>
          <w:sz w:val="24"/>
        </w:rPr>
        <w:t>Signes fonctionnels du RGO et examen clinique</w:t>
      </w:r>
    </w:p>
    <w:p w:rsidR="00B215A5" w:rsidRPr="00192617" w:rsidRDefault="00192617" w:rsidP="00192617">
      <w:pPr>
        <w:pStyle w:val="Paragraphedeliste"/>
        <w:numPr>
          <w:ilvl w:val="0"/>
          <w:numId w:val="7"/>
        </w:numPr>
        <w:spacing w:after="0" w:line="240" w:lineRule="auto"/>
        <w:rPr>
          <w:b/>
          <w:i/>
          <w:color w:val="00B050"/>
          <w:u w:val="single"/>
        </w:rPr>
      </w:pPr>
      <w:r w:rsidRPr="00192617">
        <w:rPr>
          <w:b/>
          <w:i/>
          <w:color w:val="00B050"/>
          <w:u w:val="single"/>
        </w:rPr>
        <w:t>Symptômes digestifs du RGO non compliqué</w:t>
      </w:r>
    </w:p>
    <w:p w:rsidR="00192617" w:rsidRDefault="000C11A8" w:rsidP="000C11A8">
      <w:pPr>
        <w:pStyle w:val="Paragraphedeliste"/>
        <w:numPr>
          <w:ilvl w:val="0"/>
          <w:numId w:val="8"/>
        </w:numPr>
        <w:spacing w:after="0" w:line="240" w:lineRule="auto"/>
      </w:pPr>
      <w:r>
        <w:t>Pyrosis : Brulure rétro-sternale ascendante à point de départ épigastrique</w:t>
      </w:r>
    </w:p>
    <w:p w:rsidR="000C11A8" w:rsidRDefault="000C11A8" w:rsidP="000C11A8">
      <w:pPr>
        <w:pStyle w:val="Paragraphedeliste"/>
        <w:numPr>
          <w:ilvl w:val="0"/>
          <w:numId w:val="8"/>
        </w:numPr>
        <w:spacing w:after="0" w:line="240" w:lineRule="auto"/>
      </w:pPr>
      <w:r>
        <w:t>Brûlures épigastriques</w:t>
      </w:r>
    </w:p>
    <w:p w:rsidR="000C11A8" w:rsidRDefault="000C11A8" w:rsidP="000C11A8">
      <w:pPr>
        <w:pStyle w:val="Paragraphedeliste"/>
        <w:numPr>
          <w:ilvl w:val="0"/>
          <w:numId w:val="8"/>
        </w:numPr>
        <w:spacing w:after="0" w:line="240" w:lineRule="auto"/>
      </w:pPr>
      <w:r>
        <w:t xml:space="preserve">Régurgitations acides </w:t>
      </w:r>
    </w:p>
    <w:p w:rsidR="000C11A8" w:rsidRDefault="000C11A8" w:rsidP="000C11A8">
      <w:pPr>
        <w:pStyle w:val="Paragraphedeliste"/>
        <w:numPr>
          <w:ilvl w:val="0"/>
          <w:numId w:val="8"/>
        </w:numPr>
        <w:spacing w:after="0" w:line="240" w:lineRule="auto"/>
      </w:pPr>
      <w:r>
        <w:t>Caractère postural et/ou post prandiale des régurgitations et des douleurs</w:t>
      </w:r>
    </w:p>
    <w:p w:rsidR="000C11A8" w:rsidRDefault="000C11A8" w:rsidP="000C11A8">
      <w:pPr>
        <w:pStyle w:val="Paragraphedeliste"/>
        <w:numPr>
          <w:ilvl w:val="0"/>
          <w:numId w:val="8"/>
        </w:numPr>
        <w:spacing w:after="0" w:line="240" w:lineRule="auto"/>
      </w:pPr>
      <w:r>
        <w:rPr>
          <w:b/>
        </w:rPr>
        <w:t xml:space="preserve">Avant 50 ans, en </w:t>
      </w:r>
      <w:proofErr w:type="spellStart"/>
      <w:r>
        <w:rPr>
          <w:b/>
        </w:rPr>
        <w:t>prst</w:t>
      </w:r>
      <w:proofErr w:type="spellEnd"/>
      <w:r>
        <w:rPr>
          <w:b/>
        </w:rPr>
        <w:t xml:space="preserve"> de symptômes digestifs typiques et en l’absence de complications, on peut affirmer le diagnostic de RGO sans avoir recourt à des examens complémentaires</w:t>
      </w:r>
    </w:p>
    <w:p w:rsidR="00192617" w:rsidRDefault="00192617" w:rsidP="00192617">
      <w:pPr>
        <w:spacing w:after="0" w:line="240" w:lineRule="auto"/>
      </w:pPr>
    </w:p>
    <w:p w:rsidR="00192617" w:rsidRPr="00192617" w:rsidRDefault="00192617" w:rsidP="00192617">
      <w:pPr>
        <w:pStyle w:val="Paragraphedeliste"/>
        <w:numPr>
          <w:ilvl w:val="0"/>
          <w:numId w:val="7"/>
        </w:numPr>
        <w:spacing w:after="0" w:line="240" w:lineRule="auto"/>
        <w:rPr>
          <w:b/>
          <w:i/>
          <w:color w:val="00B050"/>
          <w:u w:val="single"/>
        </w:rPr>
      </w:pPr>
      <w:r w:rsidRPr="00192617">
        <w:rPr>
          <w:b/>
          <w:i/>
          <w:color w:val="00B050"/>
          <w:u w:val="single"/>
        </w:rPr>
        <w:t>Symptômes extradigestifs du RGO</w:t>
      </w:r>
    </w:p>
    <w:p w:rsidR="00192617" w:rsidRDefault="00D92426" w:rsidP="00D92426">
      <w:pPr>
        <w:pStyle w:val="Paragraphedeliste"/>
        <w:numPr>
          <w:ilvl w:val="0"/>
          <w:numId w:val="9"/>
        </w:numPr>
        <w:spacing w:after="0" w:line="240" w:lineRule="auto"/>
      </w:pPr>
      <w:r>
        <w:t xml:space="preserve">Toux, dyspnée </w:t>
      </w:r>
      <w:proofErr w:type="spellStart"/>
      <w:r>
        <w:t>asthmatiforme</w:t>
      </w:r>
      <w:proofErr w:type="spellEnd"/>
      <w:r>
        <w:t>, enrouement</w:t>
      </w:r>
    </w:p>
    <w:p w:rsidR="00D92426" w:rsidRDefault="00D92426" w:rsidP="00D92426">
      <w:pPr>
        <w:pStyle w:val="Paragraphedeliste"/>
        <w:numPr>
          <w:ilvl w:val="0"/>
          <w:numId w:val="9"/>
        </w:numPr>
        <w:spacing w:after="0" w:line="240" w:lineRule="auto"/>
      </w:pPr>
      <w:r>
        <w:t>Dysesthésies bucco-pharyngées, laryngite postérieure, gingivites ou caries à répétition</w:t>
      </w:r>
    </w:p>
    <w:p w:rsidR="00D92426" w:rsidRDefault="00D92426" w:rsidP="004E34B8">
      <w:pPr>
        <w:pStyle w:val="Paragraphedeliste"/>
        <w:numPr>
          <w:ilvl w:val="0"/>
          <w:numId w:val="9"/>
        </w:numPr>
        <w:spacing w:after="0" w:line="240" w:lineRule="auto"/>
      </w:pPr>
      <w:r>
        <w:t>Otalgie inexpliquée</w:t>
      </w:r>
      <w:r w:rsidR="006006DF">
        <w:t xml:space="preserve">, </w:t>
      </w:r>
      <w:r w:rsidR="004E34B8">
        <w:t xml:space="preserve">Troubles du sommeil, </w:t>
      </w:r>
      <w:r>
        <w:t>Douleurs précordiales pouvant simuler un angor</w:t>
      </w:r>
    </w:p>
    <w:p w:rsidR="00192617" w:rsidRDefault="00192617" w:rsidP="00192617">
      <w:pPr>
        <w:spacing w:after="0" w:line="240" w:lineRule="auto"/>
      </w:pPr>
    </w:p>
    <w:p w:rsidR="00192617" w:rsidRPr="00192617" w:rsidRDefault="00192617" w:rsidP="00192617">
      <w:pPr>
        <w:pStyle w:val="Paragraphedeliste"/>
        <w:numPr>
          <w:ilvl w:val="0"/>
          <w:numId w:val="7"/>
        </w:numPr>
        <w:spacing w:after="0" w:line="240" w:lineRule="auto"/>
        <w:rPr>
          <w:b/>
          <w:i/>
          <w:color w:val="00B050"/>
          <w:u w:val="single"/>
        </w:rPr>
      </w:pPr>
      <w:r w:rsidRPr="00192617">
        <w:rPr>
          <w:b/>
          <w:i/>
          <w:color w:val="00B050"/>
          <w:u w:val="single"/>
        </w:rPr>
        <w:t>Symptômes de RGO compliqué</w:t>
      </w:r>
    </w:p>
    <w:p w:rsidR="006006DF" w:rsidRDefault="006006DF" w:rsidP="006006DF">
      <w:pPr>
        <w:pStyle w:val="Paragraphedeliste"/>
        <w:numPr>
          <w:ilvl w:val="0"/>
          <w:numId w:val="10"/>
        </w:numPr>
        <w:spacing w:after="0" w:line="240" w:lineRule="auto"/>
      </w:pPr>
      <w:r>
        <w:t>Œsophagite sévère (+++)</w:t>
      </w:r>
    </w:p>
    <w:p w:rsidR="006006DF" w:rsidRDefault="006006DF" w:rsidP="006006DF">
      <w:pPr>
        <w:pStyle w:val="Paragraphedeliste"/>
        <w:numPr>
          <w:ilvl w:val="1"/>
          <w:numId w:val="10"/>
        </w:numPr>
        <w:spacing w:after="0" w:line="240" w:lineRule="auto"/>
      </w:pPr>
      <w:r>
        <w:t>Ulcération du bas de l’œsophage</w:t>
      </w:r>
    </w:p>
    <w:p w:rsidR="00192617" w:rsidRDefault="006006DF" w:rsidP="00192617">
      <w:pPr>
        <w:pStyle w:val="Paragraphedeliste"/>
        <w:numPr>
          <w:ilvl w:val="1"/>
          <w:numId w:val="10"/>
        </w:numPr>
        <w:spacing w:after="0" w:line="240" w:lineRule="auto"/>
      </w:pPr>
      <w:r>
        <w:t>Risque de : Sténose peptique qui peut être très serrée, hémorragie digestive</w:t>
      </w:r>
    </w:p>
    <w:p w:rsidR="00192617" w:rsidRPr="00192617" w:rsidRDefault="00192617" w:rsidP="00192617">
      <w:pPr>
        <w:pStyle w:val="Paragraphedeliste"/>
        <w:numPr>
          <w:ilvl w:val="0"/>
          <w:numId w:val="7"/>
        </w:numPr>
        <w:spacing w:after="0" w:line="240" w:lineRule="auto"/>
        <w:rPr>
          <w:b/>
          <w:i/>
          <w:color w:val="00B050"/>
          <w:u w:val="single"/>
        </w:rPr>
      </w:pPr>
      <w:proofErr w:type="spellStart"/>
      <w:r w:rsidRPr="00192617">
        <w:rPr>
          <w:b/>
          <w:i/>
          <w:color w:val="00B050"/>
          <w:u w:val="single"/>
        </w:rPr>
        <w:lastRenderedPageBreak/>
        <w:t>Endobrachyoesophage</w:t>
      </w:r>
      <w:proofErr w:type="spellEnd"/>
      <w:r w:rsidRPr="00192617">
        <w:rPr>
          <w:b/>
          <w:i/>
          <w:color w:val="00B050"/>
          <w:u w:val="single"/>
        </w:rPr>
        <w:t xml:space="preserve"> (EBO)</w:t>
      </w:r>
      <w:r w:rsidR="006006DF">
        <w:rPr>
          <w:b/>
          <w:i/>
          <w:color w:val="00B050"/>
          <w:u w:val="single"/>
        </w:rPr>
        <w:t xml:space="preserve"> ou œsophage de </w:t>
      </w:r>
      <w:proofErr w:type="spellStart"/>
      <w:r w:rsidR="006006DF">
        <w:rPr>
          <w:b/>
          <w:i/>
          <w:color w:val="00B050"/>
          <w:u w:val="single"/>
        </w:rPr>
        <w:t>Barrett</w:t>
      </w:r>
      <w:proofErr w:type="spellEnd"/>
    </w:p>
    <w:p w:rsidR="00B215A5" w:rsidRDefault="006006DF" w:rsidP="006006DF">
      <w:pPr>
        <w:pStyle w:val="Paragraphedeliste"/>
        <w:numPr>
          <w:ilvl w:val="0"/>
          <w:numId w:val="10"/>
        </w:numPr>
        <w:spacing w:after="0" w:line="240" w:lineRule="auto"/>
      </w:pPr>
      <w:r>
        <w:t>Remplacement de l’épithélium malpighien de l’œsophage par de la muqueuse gastrique (Métaplasie)</w:t>
      </w:r>
    </w:p>
    <w:p w:rsidR="006006DF" w:rsidRDefault="006006DF" w:rsidP="006006DF">
      <w:pPr>
        <w:pStyle w:val="Paragraphedeliste"/>
        <w:numPr>
          <w:ilvl w:val="0"/>
          <w:numId w:val="10"/>
        </w:numPr>
        <w:spacing w:after="0" w:line="240" w:lineRule="auto"/>
      </w:pPr>
      <w:r>
        <w:t xml:space="preserve">Pas de symptômes spécifiques, voir asymptomatique </w:t>
      </w:r>
      <w:r>
        <w:sym w:font="Wingdings" w:char="F0E0"/>
      </w:r>
      <w:r>
        <w:t xml:space="preserve"> Nécessite une surveillance régulière</w:t>
      </w:r>
    </w:p>
    <w:p w:rsidR="006006DF" w:rsidRDefault="006006DF" w:rsidP="006006DF">
      <w:pPr>
        <w:pStyle w:val="Paragraphedeliste"/>
        <w:numPr>
          <w:ilvl w:val="0"/>
          <w:numId w:val="10"/>
        </w:numPr>
        <w:spacing w:after="0" w:line="240" w:lineRule="auto"/>
      </w:pPr>
      <w:r>
        <w:t>Risque de : Ulcère, dysplasie, adénocarcinome</w:t>
      </w:r>
    </w:p>
    <w:p w:rsidR="00192617" w:rsidRDefault="00192617" w:rsidP="000D5F94">
      <w:pPr>
        <w:spacing w:after="0" w:line="240" w:lineRule="auto"/>
      </w:pPr>
    </w:p>
    <w:p w:rsidR="00B215A5" w:rsidRPr="00B215A5" w:rsidRDefault="00B215A5" w:rsidP="000D5F94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B215A5">
        <w:rPr>
          <w:b/>
          <w:color w:val="FF0000"/>
          <w:sz w:val="24"/>
        </w:rPr>
        <w:t>Examen complémentaires</w:t>
      </w:r>
    </w:p>
    <w:p w:rsidR="004D6995" w:rsidRDefault="004D6995" w:rsidP="004D6995">
      <w:pPr>
        <w:pStyle w:val="Paragraphedeliste"/>
        <w:numPr>
          <w:ilvl w:val="0"/>
          <w:numId w:val="12"/>
        </w:numPr>
        <w:spacing w:after="0" w:line="240" w:lineRule="auto"/>
        <w:rPr>
          <w:b/>
        </w:rPr>
      </w:pPr>
      <w:r w:rsidRPr="004D6995">
        <w:rPr>
          <w:b/>
        </w:rPr>
        <w:t xml:space="preserve">Avant 50 ans, en </w:t>
      </w:r>
      <w:proofErr w:type="spellStart"/>
      <w:r w:rsidRPr="004D6995">
        <w:rPr>
          <w:b/>
        </w:rPr>
        <w:t>prst</w:t>
      </w:r>
      <w:proofErr w:type="spellEnd"/>
      <w:r w:rsidRPr="004D6995">
        <w:rPr>
          <w:b/>
        </w:rPr>
        <w:t xml:space="preserve"> de symptômes digestifs typiques et en l’absence de complications, on peut affirmer le diagnostic de RGO sans avoir recourt à des examens complémentaires</w:t>
      </w:r>
    </w:p>
    <w:p w:rsidR="00B32654" w:rsidRPr="00B32654" w:rsidRDefault="00B32654" w:rsidP="00B32654">
      <w:pPr>
        <w:spacing w:after="0" w:line="240" w:lineRule="auto"/>
      </w:pPr>
    </w:p>
    <w:p w:rsidR="00B215A5" w:rsidRPr="009E4F6F" w:rsidRDefault="009E4F6F" w:rsidP="009E4F6F">
      <w:pPr>
        <w:pStyle w:val="Paragraphedeliste"/>
        <w:numPr>
          <w:ilvl w:val="0"/>
          <w:numId w:val="11"/>
        </w:numPr>
        <w:spacing w:after="0" w:line="240" w:lineRule="auto"/>
        <w:rPr>
          <w:b/>
          <w:i/>
          <w:color w:val="00B050"/>
          <w:u w:val="single"/>
        </w:rPr>
      </w:pPr>
      <w:r w:rsidRPr="009E4F6F">
        <w:rPr>
          <w:b/>
          <w:i/>
          <w:color w:val="00B050"/>
          <w:u w:val="single"/>
        </w:rPr>
        <w:t>Explorations morphologiques</w:t>
      </w:r>
    </w:p>
    <w:p w:rsidR="009E4F6F" w:rsidRDefault="004D6995" w:rsidP="004D6995">
      <w:pPr>
        <w:pStyle w:val="Paragraphedeliste"/>
        <w:numPr>
          <w:ilvl w:val="0"/>
          <w:numId w:val="12"/>
        </w:numPr>
        <w:spacing w:after="0" w:line="240" w:lineRule="auto"/>
      </w:pPr>
      <w:r>
        <w:t xml:space="preserve">Endoscopie </w:t>
      </w:r>
      <w:proofErr w:type="spellStart"/>
      <w:r>
        <w:t>oeso</w:t>
      </w:r>
      <w:proofErr w:type="spellEnd"/>
      <w:r>
        <w:t>-</w:t>
      </w:r>
      <w:proofErr w:type="spellStart"/>
      <w:r>
        <w:t>gastro-duodénale</w:t>
      </w:r>
      <w:proofErr w:type="spellEnd"/>
      <w:r>
        <w:t xml:space="preserve"> (+++)</w:t>
      </w:r>
    </w:p>
    <w:p w:rsidR="004D6995" w:rsidRDefault="00D22656" w:rsidP="004D6995">
      <w:pPr>
        <w:pStyle w:val="Paragraphedeliste"/>
        <w:numPr>
          <w:ilvl w:val="1"/>
          <w:numId w:val="12"/>
        </w:numPr>
        <w:spacing w:after="0" w:line="240" w:lineRule="auto"/>
      </w:pPr>
      <w:r>
        <w:t>En première intention si les symptômes sont atypiques ou après 50 ans</w:t>
      </w:r>
    </w:p>
    <w:p w:rsidR="00D22656" w:rsidRDefault="00D22656" w:rsidP="004D6995">
      <w:pPr>
        <w:pStyle w:val="Paragraphedeliste"/>
        <w:numPr>
          <w:ilvl w:val="1"/>
          <w:numId w:val="12"/>
        </w:numPr>
        <w:spacing w:after="0" w:line="240" w:lineRule="auto"/>
      </w:pPr>
      <w:r>
        <w:t xml:space="preserve">Normale dans 30-50% des cas </w:t>
      </w:r>
      <w:r>
        <w:sym w:font="Wingdings" w:char="F0E0"/>
      </w:r>
      <w:r>
        <w:t xml:space="preserve"> Ne peut écarter un RGO mais l’affirme lorsqu’elle trouve des lésions type Œsophagite de </w:t>
      </w:r>
      <w:proofErr w:type="spellStart"/>
      <w:r>
        <w:t>Barrett</w:t>
      </w:r>
      <w:proofErr w:type="spellEnd"/>
    </w:p>
    <w:p w:rsidR="004D6995" w:rsidRDefault="004D6995" w:rsidP="004D6995">
      <w:pPr>
        <w:pStyle w:val="Paragraphedeliste"/>
        <w:numPr>
          <w:ilvl w:val="0"/>
          <w:numId w:val="12"/>
        </w:numPr>
        <w:spacing w:after="0" w:line="240" w:lineRule="auto"/>
      </w:pPr>
      <w:r>
        <w:t xml:space="preserve">Transit baryté </w:t>
      </w:r>
      <w:proofErr w:type="spellStart"/>
      <w:r>
        <w:t>oeso</w:t>
      </w:r>
      <w:proofErr w:type="spellEnd"/>
      <w:r>
        <w:t>-gastrique</w:t>
      </w:r>
    </w:p>
    <w:p w:rsidR="004D6995" w:rsidRDefault="00AC1C82" w:rsidP="004D6995">
      <w:pPr>
        <w:pStyle w:val="Paragraphedeliste"/>
        <w:numPr>
          <w:ilvl w:val="1"/>
          <w:numId w:val="12"/>
        </w:numPr>
        <w:spacing w:after="0" w:line="240" w:lineRule="auto"/>
      </w:pPr>
      <w:r>
        <w:t>Aucun intérêt pour le diagnostic sauf</w:t>
      </w:r>
    </w:p>
    <w:p w:rsidR="00AC1C82" w:rsidRDefault="00AC1C82" w:rsidP="00AC1C82">
      <w:pPr>
        <w:pStyle w:val="Paragraphedeliste"/>
        <w:numPr>
          <w:ilvl w:val="2"/>
          <w:numId w:val="12"/>
        </w:numPr>
        <w:spacing w:after="0" w:line="240" w:lineRule="auto"/>
      </w:pPr>
      <w:r>
        <w:t>Sténose peptique</w:t>
      </w:r>
    </w:p>
    <w:p w:rsidR="00AC1C82" w:rsidRDefault="00AC1C82" w:rsidP="00AC1C82">
      <w:pPr>
        <w:pStyle w:val="Paragraphedeliste"/>
        <w:numPr>
          <w:ilvl w:val="2"/>
          <w:numId w:val="12"/>
        </w:numPr>
        <w:spacing w:after="0" w:line="240" w:lineRule="auto"/>
      </w:pPr>
      <w:r>
        <w:t>Volumineuse hernie hiatale</w:t>
      </w:r>
    </w:p>
    <w:p w:rsidR="004D6995" w:rsidRDefault="004D6995" w:rsidP="00AC1C82">
      <w:pPr>
        <w:pStyle w:val="Paragraphedeliste"/>
        <w:numPr>
          <w:ilvl w:val="0"/>
          <w:numId w:val="12"/>
        </w:numPr>
        <w:spacing w:after="0" w:line="240" w:lineRule="auto"/>
      </w:pPr>
      <w:r>
        <w:t>Vidéocapsule endoscopique</w:t>
      </w:r>
      <w:r w:rsidR="00AC1C82">
        <w:t> : En cours de recherche</w:t>
      </w:r>
    </w:p>
    <w:p w:rsidR="009E4F6F" w:rsidRDefault="009E4F6F" w:rsidP="009E4F6F">
      <w:pPr>
        <w:spacing w:after="0" w:line="240" w:lineRule="auto"/>
      </w:pPr>
    </w:p>
    <w:p w:rsidR="009E4F6F" w:rsidRPr="009E4F6F" w:rsidRDefault="009E4F6F" w:rsidP="009E4F6F">
      <w:pPr>
        <w:pStyle w:val="Paragraphedeliste"/>
        <w:numPr>
          <w:ilvl w:val="0"/>
          <w:numId w:val="11"/>
        </w:numPr>
        <w:spacing w:after="0" w:line="240" w:lineRule="auto"/>
        <w:rPr>
          <w:b/>
          <w:i/>
          <w:color w:val="00B050"/>
          <w:u w:val="single"/>
        </w:rPr>
      </w:pPr>
      <w:r w:rsidRPr="009E4F6F">
        <w:rPr>
          <w:b/>
          <w:i/>
          <w:color w:val="00B050"/>
          <w:u w:val="single"/>
        </w:rPr>
        <w:t>Explorations fonctionnelles</w:t>
      </w:r>
    </w:p>
    <w:p w:rsidR="009E4F6F" w:rsidRDefault="00AC1C82" w:rsidP="00AC1C82">
      <w:pPr>
        <w:pStyle w:val="Paragraphedeliste"/>
        <w:numPr>
          <w:ilvl w:val="0"/>
          <w:numId w:val="13"/>
        </w:numPr>
        <w:spacing w:after="0" w:line="240" w:lineRule="auto"/>
      </w:pPr>
      <w:proofErr w:type="spellStart"/>
      <w:r>
        <w:t>pH-métrie</w:t>
      </w:r>
      <w:proofErr w:type="spellEnd"/>
      <w:r>
        <w:t xml:space="preserve"> œsophagienne des 24 heures</w:t>
      </w:r>
    </w:p>
    <w:p w:rsidR="00AC1C82" w:rsidRDefault="00AC1C82" w:rsidP="00AC1C82">
      <w:pPr>
        <w:pStyle w:val="Paragraphedeliste"/>
        <w:numPr>
          <w:ilvl w:val="1"/>
          <w:numId w:val="13"/>
        </w:numPr>
        <w:spacing w:after="0" w:line="240" w:lineRule="auto"/>
      </w:pPr>
      <w:r>
        <w:t>Exploration fonctionnelle la plus sensible</w:t>
      </w:r>
    </w:p>
    <w:p w:rsidR="00AC1C82" w:rsidRDefault="00AC1C82" w:rsidP="00AC1C82">
      <w:pPr>
        <w:pStyle w:val="Paragraphedeliste"/>
        <w:numPr>
          <w:ilvl w:val="1"/>
          <w:numId w:val="13"/>
        </w:numPr>
        <w:spacing w:after="0" w:line="240" w:lineRule="auto"/>
      </w:pPr>
      <w:r>
        <w:t>Indiqué quand l’endoscopie ne montre pas d’anomalies</w:t>
      </w:r>
    </w:p>
    <w:p w:rsidR="00AC1C82" w:rsidRDefault="00AC1C82" w:rsidP="00AC1C82">
      <w:pPr>
        <w:pStyle w:val="Paragraphedeliste"/>
        <w:numPr>
          <w:ilvl w:val="0"/>
          <w:numId w:val="13"/>
        </w:numPr>
        <w:spacing w:after="0" w:line="240" w:lineRule="auto"/>
      </w:pPr>
      <w:proofErr w:type="spellStart"/>
      <w:r>
        <w:t>Impédancemétrie</w:t>
      </w:r>
      <w:proofErr w:type="spellEnd"/>
      <w:r>
        <w:t xml:space="preserve"> œsophagienne</w:t>
      </w:r>
    </w:p>
    <w:p w:rsidR="00AC1C82" w:rsidRDefault="00AC1C82" w:rsidP="00AC1C82">
      <w:pPr>
        <w:pStyle w:val="Paragraphedeliste"/>
        <w:numPr>
          <w:ilvl w:val="1"/>
          <w:numId w:val="13"/>
        </w:numPr>
        <w:spacing w:after="0" w:line="240" w:lineRule="auto"/>
      </w:pPr>
      <w:r>
        <w:t xml:space="preserve">Seul examen permettant de mettre en évidence un RGO </w:t>
      </w:r>
      <w:proofErr w:type="spellStart"/>
      <w:r>
        <w:t>peu</w:t>
      </w:r>
      <w:proofErr w:type="spellEnd"/>
      <w:r>
        <w:t xml:space="preserve"> ou non acide</w:t>
      </w:r>
    </w:p>
    <w:p w:rsidR="00AC1C82" w:rsidRDefault="00AC1C82" w:rsidP="00AC1C82">
      <w:pPr>
        <w:pStyle w:val="Paragraphedeliste"/>
        <w:numPr>
          <w:ilvl w:val="1"/>
          <w:numId w:val="13"/>
        </w:numPr>
        <w:spacing w:after="0" w:line="240" w:lineRule="auto"/>
      </w:pPr>
      <w:r>
        <w:t>Indiqué pour rechercher un reflux persistant sous traitement anti sécrétoire</w:t>
      </w:r>
    </w:p>
    <w:p w:rsidR="00AC1C82" w:rsidRDefault="00AC1C82" w:rsidP="00AC1C82">
      <w:pPr>
        <w:pStyle w:val="Paragraphedeliste"/>
        <w:numPr>
          <w:ilvl w:val="0"/>
          <w:numId w:val="13"/>
        </w:numPr>
        <w:spacing w:after="0" w:line="240" w:lineRule="auto"/>
      </w:pPr>
      <w:r>
        <w:t xml:space="preserve">Manométrie œsophagienne </w:t>
      </w:r>
    </w:p>
    <w:p w:rsidR="00AC1C82" w:rsidRDefault="00AC1C82" w:rsidP="00AC1C82">
      <w:pPr>
        <w:pStyle w:val="Paragraphedeliste"/>
        <w:numPr>
          <w:ilvl w:val="1"/>
          <w:numId w:val="13"/>
        </w:numPr>
        <w:spacing w:after="0" w:line="240" w:lineRule="auto"/>
      </w:pPr>
      <w:r>
        <w:t>N’objective pas le RGO mais peut identifier une déficience du SIO</w:t>
      </w:r>
    </w:p>
    <w:p w:rsidR="00AC1C82" w:rsidRDefault="00AC1C82" w:rsidP="00AC1C82">
      <w:pPr>
        <w:pStyle w:val="Paragraphedeliste"/>
        <w:numPr>
          <w:ilvl w:val="1"/>
          <w:numId w:val="13"/>
        </w:numPr>
        <w:spacing w:after="0" w:line="240" w:lineRule="auto"/>
      </w:pPr>
      <w:r>
        <w:t>Indiqué en préopératoires pour un reflux</w:t>
      </w:r>
    </w:p>
    <w:p w:rsidR="00B215A5" w:rsidRDefault="00B215A5" w:rsidP="000D5F94">
      <w:pPr>
        <w:spacing w:after="0" w:line="240" w:lineRule="auto"/>
      </w:pPr>
    </w:p>
    <w:p w:rsidR="00B215A5" w:rsidRPr="00B215A5" w:rsidRDefault="00B215A5" w:rsidP="000D5F94">
      <w:pPr>
        <w:pStyle w:val="Paragraphedeliste"/>
        <w:numPr>
          <w:ilvl w:val="0"/>
          <w:numId w:val="1"/>
        </w:numPr>
        <w:spacing w:after="0" w:line="240" w:lineRule="auto"/>
        <w:rPr>
          <w:b/>
          <w:color w:val="FF0000"/>
          <w:sz w:val="24"/>
        </w:rPr>
      </w:pPr>
      <w:r w:rsidRPr="00B215A5">
        <w:rPr>
          <w:b/>
          <w:color w:val="FF0000"/>
          <w:sz w:val="24"/>
        </w:rPr>
        <w:t>Traitement du RGO</w:t>
      </w:r>
    </w:p>
    <w:p w:rsidR="00B215A5" w:rsidRPr="008C5D67" w:rsidRDefault="008C5D67" w:rsidP="008C5D67">
      <w:pPr>
        <w:pStyle w:val="Paragraphedeliste"/>
        <w:numPr>
          <w:ilvl w:val="0"/>
          <w:numId w:val="14"/>
        </w:numPr>
        <w:spacing w:after="0" w:line="240" w:lineRule="auto"/>
        <w:rPr>
          <w:b/>
          <w:i/>
          <w:color w:val="00B050"/>
          <w:u w:val="single"/>
        </w:rPr>
      </w:pPr>
      <w:r w:rsidRPr="008C5D67">
        <w:rPr>
          <w:b/>
          <w:i/>
          <w:color w:val="00B050"/>
          <w:u w:val="single"/>
        </w:rPr>
        <w:t>Règles hygiéno-diététiques</w:t>
      </w:r>
    </w:p>
    <w:p w:rsidR="008C5D67" w:rsidRDefault="008C5D67" w:rsidP="008C5D67">
      <w:pPr>
        <w:pStyle w:val="Paragraphedeliste"/>
        <w:numPr>
          <w:ilvl w:val="0"/>
          <w:numId w:val="15"/>
        </w:numPr>
        <w:spacing w:after="0" w:line="240" w:lineRule="auto"/>
      </w:pPr>
      <w:r>
        <w:t>Réduction pondérale</w:t>
      </w:r>
    </w:p>
    <w:p w:rsidR="008C5D67" w:rsidRDefault="008C5D67" w:rsidP="008C5D67">
      <w:pPr>
        <w:pStyle w:val="Paragraphedeliste"/>
        <w:numPr>
          <w:ilvl w:val="0"/>
          <w:numId w:val="15"/>
        </w:numPr>
        <w:spacing w:after="0" w:line="240" w:lineRule="auto"/>
      </w:pPr>
      <w:r>
        <w:t>Arrêt du tabac et de l’alcool</w:t>
      </w:r>
    </w:p>
    <w:p w:rsidR="008C5D67" w:rsidRDefault="008C5D67" w:rsidP="008C5D67">
      <w:pPr>
        <w:pStyle w:val="Paragraphedeliste"/>
        <w:numPr>
          <w:ilvl w:val="0"/>
          <w:numId w:val="15"/>
        </w:numPr>
        <w:spacing w:after="0" w:line="240" w:lineRule="auto"/>
      </w:pPr>
      <w:r>
        <w:t>Surélévation de la tête du lit et délais de 3H entre le dernier repas et le coucher</w:t>
      </w:r>
    </w:p>
    <w:p w:rsidR="008C5D67" w:rsidRDefault="008C5D67" w:rsidP="008C5D67">
      <w:pPr>
        <w:spacing w:after="0" w:line="240" w:lineRule="auto"/>
      </w:pPr>
    </w:p>
    <w:p w:rsidR="008C5D67" w:rsidRPr="008C5D67" w:rsidRDefault="008C5D67" w:rsidP="008C5D67">
      <w:pPr>
        <w:pStyle w:val="Paragraphedeliste"/>
        <w:numPr>
          <w:ilvl w:val="0"/>
          <w:numId w:val="14"/>
        </w:numPr>
        <w:spacing w:after="0" w:line="240" w:lineRule="auto"/>
        <w:rPr>
          <w:b/>
          <w:i/>
          <w:color w:val="00B050"/>
          <w:u w:val="single"/>
        </w:rPr>
      </w:pPr>
      <w:r w:rsidRPr="008C5D67">
        <w:rPr>
          <w:b/>
          <w:i/>
          <w:color w:val="00B050"/>
          <w:u w:val="single"/>
        </w:rPr>
        <w:t>Traitements anti sécrétoires</w:t>
      </w:r>
    </w:p>
    <w:p w:rsidR="008C5D67" w:rsidRDefault="008C5D67" w:rsidP="008C5D67">
      <w:pPr>
        <w:pStyle w:val="Paragraphedeliste"/>
        <w:numPr>
          <w:ilvl w:val="0"/>
          <w:numId w:val="16"/>
        </w:numPr>
        <w:spacing w:after="0" w:line="240" w:lineRule="auto"/>
      </w:pPr>
      <w:r>
        <w:t>RGO sans œsophagite</w:t>
      </w:r>
    </w:p>
    <w:p w:rsidR="005D4EC7" w:rsidRDefault="005D4EC7" w:rsidP="005D4EC7">
      <w:pPr>
        <w:pStyle w:val="Paragraphedeliste"/>
        <w:numPr>
          <w:ilvl w:val="1"/>
          <w:numId w:val="16"/>
        </w:numPr>
        <w:spacing w:after="0" w:line="240" w:lineRule="auto"/>
      </w:pPr>
      <w:r>
        <w:t>Alginates : Protecteurs de la muqueuse gastrique</w:t>
      </w:r>
    </w:p>
    <w:p w:rsidR="000A22B4" w:rsidRDefault="005D4EC7" w:rsidP="005D4EC7">
      <w:pPr>
        <w:pStyle w:val="Paragraphedeliste"/>
        <w:numPr>
          <w:ilvl w:val="1"/>
          <w:numId w:val="16"/>
        </w:numPr>
        <w:spacing w:after="0" w:line="240" w:lineRule="auto"/>
      </w:pPr>
      <w:proofErr w:type="spellStart"/>
      <w:r>
        <w:t>Prokinétiques</w:t>
      </w:r>
      <w:proofErr w:type="spellEnd"/>
      <w:r>
        <w:t xml:space="preserve"> : Stimulateurs de la motricité </w:t>
      </w:r>
      <w:proofErr w:type="spellStart"/>
      <w:r>
        <w:t>oeso</w:t>
      </w:r>
      <w:proofErr w:type="spellEnd"/>
      <w:r>
        <w:t>-gastrique n’ayant aucun intérêt dans le traitement des RGO</w:t>
      </w:r>
    </w:p>
    <w:p w:rsidR="005D4EC7" w:rsidRDefault="000A22B4" w:rsidP="000A22B4">
      <w:pPr>
        <w:spacing w:after="0" w:line="240" w:lineRule="auto"/>
        <w:ind w:left="1080"/>
      </w:pPr>
      <w:r w:rsidRPr="000A22B4">
        <w:rPr>
          <w:noProof/>
          <w:lang w:eastAsia="fr-FR"/>
        </w:rPr>
        <w:drawing>
          <wp:inline distT="0" distB="0" distL="0" distR="0" wp14:anchorId="717DAD44" wp14:editId="7D6CFB11">
            <wp:extent cx="3815219" cy="1638300"/>
            <wp:effectExtent l="0" t="0" r="0" b="0"/>
            <wp:docPr id="3" name="Image 3" descr="C:\Users\pauline\Pictures\Screenshots\Capture d’écran (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ine\Pictures\Screenshots\Capture d’écran (6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7" t="26597" r="16355" b="15172"/>
                    <a:stretch/>
                  </pic:blipFill>
                  <pic:spPr bwMode="auto">
                    <a:xfrm>
                      <a:off x="0" y="0"/>
                      <a:ext cx="3824522" cy="16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D67" w:rsidRDefault="008C5D67" w:rsidP="008C5D67">
      <w:pPr>
        <w:pStyle w:val="Paragraphedeliste"/>
        <w:numPr>
          <w:ilvl w:val="0"/>
          <w:numId w:val="16"/>
        </w:numPr>
        <w:spacing w:after="0" w:line="240" w:lineRule="auto"/>
      </w:pPr>
      <w:r>
        <w:lastRenderedPageBreak/>
        <w:t>RGO avec œsophagite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Les récidives à l’arrêt des TTT est d’autant plus fréquente que l’œsophagite était sévère</w:t>
      </w:r>
    </w:p>
    <w:p w:rsidR="000A22B4" w:rsidRDefault="000A22B4" w:rsidP="000A22B4">
      <w:pPr>
        <w:spacing w:after="0" w:line="240" w:lineRule="auto"/>
        <w:ind w:left="720"/>
      </w:pPr>
      <w:r w:rsidRPr="000A22B4">
        <w:rPr>
          <w:noProof/>
          <w:lang w:eastAsia="fr-FR"/>
        </w:rPr>
        <w:drawing>
          <wp:inline distT="0" distB="0" distL="0" distR="0">
            <wp:extent cx="4976401" cy="1174750"/>
            <wp:effectExtent l="0" t="0" r="0" b="6350"/>
            <wp:docPr id="2" name="Image 2" descr="C:\Users\pauline\Pictures\Screenshots\Capture d’écran (6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Pictures\Screenshots\Capture d’écran (6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1" t="42066" r="11172" b="26221"/>
                    <a:stretch/>
                  </pic:blipFill>
                  <pic:spPr bwMode="auto">
                    <a:xfrm>
                      <a:off x="0" y="0"/>
                      <a:ext cx="4999622" cy="118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D67" w:rsidRDefault="008C5D67" w:rsidP="008C5D67">
      <w:pPr>
        <w:pStyle w:val="Paragraphedeliste"/>
        <w:numPr>
          <w:ilvl w:val="0"/>
          <w:numId w:val="16"/>
        </w:numPr>
        <w:spacing w:after="0" w:line="240" w:lineRule="auto"/>
      </w:pPr>
      <w:r>
        <w:t>RGO avec signes extradigestifs prédominants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Pas de TTT anti-sécrétoire (pas de preuve de l’efficacité des IPP)</w:t>
      </w:r>
    </w:p>
    <w:p w:rsidR="008C5D67" w:rsidRDefault="008C5D67" w:rsidP="008C5D67">
      <w:pPr>
        <w:pStyle w:val="Paragraphedeliste"/>
        <w:numPr>
          <w:ilvl w:val="0"/>
          <w:numId w:val="16"/>
        </w:numPr>
        <w:spacing w:after="0" w:line="240" w:lineRule="auto"/>
      </w:pPr>
      <w:r>
        <w:t>RGO résistant aux IPP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Vérifier qu’il s’agit bien d’un RGO et s’il est acide ou non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 xml:space="preserve">Augmenter la dose d’IPP, introduite le </w:t>
      </w:r>
      <w:proofErr w:type="spellStart"/>
      <w:r>
        <w:t>baclofène</w:t>
      </w:r>
      <w:proofErr w:type="spellEnd"/>
      <w:r>
        <w:t xml:space="preserve"> (s</w:t>
      </w:r>
      <w:bookmarkStart w:id="0" w:name="_GoBack"/>
      <w:bookmarkEnd w:id="0"/>
      <w:r>
        <w:t>ouvent mal toléré), indication chirurgicale</w:t>
      </w:r>
    </w:p>
    <w:p w:rsidR="008C5D67" w:rsidRDefault="008C5D67" w:rsidP="008C5D67">
      <w:pPr>
        <w:pStyle w:val="Paragraphedeliste"/>
        <w:numPr>
          <w:ilvl w:val="0"/>
          <w:numId w:val="16"/>
        </w:numPr>
        <w:spacing w:after="0" w:line="240" w:lineRule="auto"/>
      </w:pPr>
      <w:r>
        <w:t>Sténose peptique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Traité par des IPP à pleine dose en continue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Dilatation endoscopique</w:t>
      </w:r>
    </w:p>
    <w:p w:rsidR="008C5D67" w:rsidRDefault="008C5D67" w:rsidP="008C5D67">
      <w:pPr>
        <w:pStyle w:val="Paragraphedeliste"/>
        <w:numPr>
          <w:ilvl w:val="0"/>
          <w:numId w:val="16"/>
        </w:numPr>
        <w:spacing w:after="0" w:line="240" w:lineRule="auto"/>
      </w:pPr>
      <w:proofErr w:type="spellStart"/>
      <w:r>
        <w:t>Endobrachyoesophage</w:t>
      </w:r>
      <w:proofErr w:type="spellEnd"/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Formes symptomatiques ou associées à des œsophagites : IPP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t>Formes asymptomatiques : Pas de traitement</w:t>
      </w:r>
    </w:p>
    <w:p w:rsidR="00920DC6" w:rsidRDefault="00920DC6" w:rsidP="00920DC6">
      <w:pPr>
        <w:pStyle w:val="Paragraphedeliste"/>
        <w:numPr>
          <w:ilvl w:val="1"/>
          <w:numId w:val="16"/>
        </w:numPr>
        <w:spacing w:after="0" w:line="240" w:lineRule="auto"/>
      </w:pPr>
      <w:r>
        <w:sym w:font="Wingdings" w:char="F0E0"/>
      </w:r>
      <w:r>
        <w:t xml:space="preserve"> Les anti-sécrétoires au long cours ou la chirurgie ne préviennent pas l’apparition de dysplasie ou de cancer</w:t>
      </w:r>
    </w:p>
    <w:p w:rsidR="008C5D67" w:rsidRDefault="008C5D67" w:rsidP="008C5D67">
      <w:pPr>
        <w:spacing w:after="0" w:line="240" w:lineRule="auto"/>
      </w:pPr>
    </w:p>
    <w:p w:rsidR="008C5D67" w:rsidRPr="008C5D67" w:rsidRDefault="008C5D67" w:rsidP="008C5D67">
      <w:pPr>
        <w:pStyle w:val="Paragraphedeliste"/>
        <w:numPr>
          <w:ilvl w:val="0"/>
          <w:numId w:val="14"/>
        </w:numPr>
        <w:spacing w:after="0" w:line="240" w:lineRule="auto"/>
        <w:rPr>
          <w:b/>
          <w:i/>
          <w:color w:val="00B050"/>
          <w:u w:val="single"/>
        </w:rPr>
      </w:pPr>
      <w:r w:rsidRPr="008C5D67">
        <w:rPr>
          <w:b/>
          <w:i/>
          <w:color w:val="00B050"/>
          <w:u w:val="single"/>
        </w:rPr>
        <w:t>Chirurgie du RGO</w:t>
      </w:r>
    </w:p>
    <w:p w:rsidR="00B215A5" w:rsidRDefault="00920DC6" w:rsidP="00920DC6">
      <w:pPr>
        <w:pStyle w:val="Paragraphedeliste"/>
        <w:numPr>
          <w:ilvl w:val="0"/>
          <w:numId w:val="17"/>
        </w:numPr>
        <w:spacing w:after="0" w:line="240" w:lineRule="auto"/>
      </w:pPr>
      <w:r>
        <w:t>Montage anti-reflux restaurant les conditions anatomiques qui s’opposent au RGO</w:t>
      </w:r>
    </w:p>
    <w:p w:rsidR="00920DC6" w:rsidRDefault="00920DC6" w:rsidP="00920DC6">
      <w:pPr>
        <w:pStyle w:val="Paragraphedeliste"/>
        <w:numPr>
          <w:ilvl w:val="1"/>
          <w:numId w:val="17"/>
        </w:numPr>
        <w:spacing w:after="0" w:line="240" w:lineRule="auto"/>
      </w:pPr>
      <w:r>
        <w:t xml:space="preserve">Procédé de </w:t>
      </w:r>
      <w:proofErr w:type="spellStart"/>
      <w:r>
        <w:t>Nissen</w:t>
      </w:r>
      <w:proofErr w:type="spellEnd"/>
      <w:r>
        <w:t xml:space="preserve"> +++</w:t>
      </w:r>
    </w:p>
    <w:p w:rsidR="00920DC6" w:rsidRDefault="00920DC6" w:rsidP="00920DC6">
      <w:pPr>
        <w:pStyle w:val="Paragraphedeliste"/>
        <w:numPr>
          <w:ilvl w:val="0"/>
          <w:numId w:val="17"/>
        </w:numPr>
        <w:spacing w:after="0" w:line="240" w:lineRule="auto"/>
      </w:pPr>
      <w:r>
        <w:t>Chirurgien pratiquée en cas de :</w:t>
      </w:r>
    </w:p>
    <w:p w:rsidR="00920DC6" w:rsidRDefault="00920DC6" w:rsidP="00920DC6">
      <w:pPr>
        <w:pStyle w:val="Paragraphedeliste"/>
        <w:numPr>
          <w:ilvl w:val="1"/>
          <w:numId w:val="17"/>
        </w:numPr>
        <w:spacing w:after="0" w:line="240" w:lineRule="auto"/>
      </w:pPr>
      <w:r>
        <w:t xml:space="preserve">RGO améliorés sous TTT médical mais qui récidive dès leur arrêt </w:t>
      </w:r>
    </w:p>
    <w:p w:rsidR="00920DC6" w:rsidRDefault="00920DC6" w:rsidP="00920DC6">
      <w:pPr>
        <w:pStyle w:val="Paragraphedeliste"/>
        <w:numPr>
          <w:ilvl w:val="1"/>
          <w:numId w:val="17"/>
        </w:numPr>
        <w:spacing w:after="0" w:line="240" w:lineRule="auto"/>
      </w:pPr>
      <w:r>
        <w:t>RGO continuant malgré le TTT médical</w:t>
      </w:r>
    </w:p>
    <w:p w:rsidR="00920DC6" w:rsidRDefault="00920DC6" w:rsidP="00920DC6">
      <w:pPr>
        <w:pStyle w:val="Paragraphedeliste"/>
        <w:numPr>
          <w:ilvl w:val="1"/>
          <w:numId w:val="17"/>
        </w:numPr>
        <w:spacing w:after="0" w:line="240" w:lineRule="auto"/>
      </w:pPr>
      <w:r>
        <w:t>RGO chez un patient ayant une volumineuse hernie hiatale</w:t>
      </w:r>
    </w:p>
    <w:p w:rsidR="003026B7" w:rsidRDefault="003026B7" w:rsidP="000D5F94">
      <w:pPr>
        <w:spacing w:after="0" w:line="240" w:lineRule="auto"/>
      </w:pPr>
    </w:p>
    <w:sectPr w:rsidR="003026B7" w:rsidSect="003026B7">
      <w:footerReference w:type="default" r:id="rId10"/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6B7" w:rsidRDefault="003026B7" w:rsidP="003026B7">
      <w:pPr>
        <w:spacing w:after="0" w:line="240" w:lineRule="auto"/>
      </w:pPr>
      <w:r>
        <w:separator/>
      </w:r>
    </w:p>
  </w:endnote>
  <w:endnote w:type="continuationSeparator" w:id="0">
    <w:p w:rsidR="003026B7" w:rsidRDefault="003026B7" w:rsidP="0030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26B7" w:rsidRDefault="003026B7" w:rsidP="003026B7">
    <w:pPr>
      <w:pStyle w:val="Pieddepage"/>
      <w:jc w:val="right"/>
    </w:pPr>
    <w:r w:rsidRPr="003026B7">
      <w:rPr>
        <w:b/>
      </w:rPr>
      <w:t>UE8 – Item 268 – Reflux gastro-œsophagien chez le nourrisson, l’enfant et l’adulte ; Hernie Hiatale</w:t>
    </w:r>
    <w:r>
      <w:t xml:space="preserve"> </w:t>
    </w:r>
    <w:r>
      <w:tab/>
    </w:r>
    <w:r>
      <w:tab/>
      <w:t xml:space="preserve">        </w:t>
    </w:r>
    <w:sdt>
      <w:sdtPr>
        <w:id w:val="-35504248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A22B4">
          <w:rPr>
            <w:noProof/>
          </w:rPr>
          <w:t>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6B7" w:rsidRDefault="003026B7" w:rsidP="003026B7">
      <w:pPr>
        <w:spacing w:after="0" w:line="240" w:lineRule="auto"/>
      </w:pPr>
      <w:r>
        <w:separator/>
      </w:r>
    </w:p>
  </w:footnote>
  <w:footnote w:type="continuationSeparator" w:id="0">
    <w:p w:rsidR="003026B7" w:rsidRDefault="003026B7" w:rsidP="0030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B63D3"/>
    <w:multiLevelType w:val="hybridMultilevel"/>
    <w:tmpl w:val="E738D93A"/>
    <w:lvl w:ilvl="0" w:tplc="539E389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F4524"/>
    <w:multiLevelType w:val="hybridMultilevel"/>
    <w:tmpl w:val="8A9CF8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5458B"/>
    <w:multiLevelType w:val="hybridMultilevel"/>
    <w:tmpl w:val="457AE1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90A97"/>
    <w:multiLevelType w:val="hybridMultilevel"/>
    <w:tmpl w:val="E1B47C1A"/>
    <w:lvl w:ilvl="0" w:tplc="623AB60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5A58DE"/>
    <w:multiLevelType w:val="hybridMultilevel"/>
    <w:tmpl w:val="BD3E72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D6C4B"/>
    <w:multiLevelType w:val="hybridMultilevel"/>
    <w:tmpl w:val="A1AE2E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C4198"/>
    <w:multiLevelType w:val="hybridMultilevel"/>
    <w:tmpl w:val="6ECE7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B6336"/>
    <w:multiLevelType w:val="hybridMultilevel"/>
    <w:tmpl w:val="AA9E07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F532B"/>
    <w:multiLevelType w:val="hybridMultilevel"/>
    <w:tmpl w:val="C00AC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C3103"/>
    <w:multiLevelType w:val="hybridMultilevel"/>
    <w:tmpl w:val="05BECE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F0683"/>
    <w:multiLevelType w:val="hybridMultilevel"/>
    <w:tmpl w:val="BBECD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8139E"/>
    <w:multiLevelType w:val="hybridMultilevel"/>
    <w:tmpl w:val="64F0B9B0"/>
    <w:lvl w:ilvl="0" w:tplc="9C9C850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37919"/>
    <w:multiLevelType w:val="hybridMultilevel"/>
    <w:tmpl w:val="0A06CA66"/>
    <w:lvl w:ilvl="0" w:tplc="5FD6EA4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DA6686"/>
    <w:multiLevelType w:val="hybridMultilevel"/>
    <w:tmpl w:val="049E66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E43EF7"/>
    <w:multiLevelType w:val="hybridMultilevel"/>
    <w:tmpl w:val="B6F44B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7F321A"/>
    <w:multiLevelType w:val="hybridMultilevel"/>
    <w:tmpl w:val="F404D080"/>
    <w:lvl w:ilvl="0" w:tplc="1388931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803227"/>
    <w:multiLevelType w:val="hybridMultilevel"/>
    <w:tmpl w:val="77AA2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7"/>
  </w:num>
  <w:num w:numId="5">
    <w:abstractNumId w:val="1"/>
  </w:num>
  <w:num w:numId="6">
    <w:abstractNumId w:val="13"/>
  </w:num>
  <w:num w:numId="7">
    <w:abstractNumId w:val="11"/>
  </w:num>
  <w:num w:numId="8">
    <w:abstractNumId w:val="14"/>
  </w:num>
  <w:num w:numId="9">
    <w:abstractNumId w:val="16"/>
  </w:num>
  <w:num w:numId="10">
    <w:abstractNumId w:val="4"/>
  </w:num>
  <w:num w:numId="11">
    <w:abstractNumId w:val="0"/>
  </w:num>
  <w:num w:numId="12">
    <w:abstractNumId w:val="10"/>
  </w:num>
  <w:num w:numId="13">
    <w:abstractNumId w:val="2"/>
  </w:num>
  <w:num w:numId="14">
    <w:abstractNumId w:val="15"/>
  </w:num>
  <w:num w:numId="15">
    <w:abstractNumId w:val="8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B7"/>
    <w:rsid w:val="000A22B4"/>
    <w:rsid w:val="000C11A8"/>
    <w:rsid w:val="000D5F94"/>
    <w:rsid w:val="000E2217"/>
    <w:rsid w:val="00192617"/>
    <w:rsid w:val="001C7D06"/>
    <w:rsid w:val="003026B7"/>
    <w:rsid w:val="004D6995"/>
    <w:rsid w:val="004E34B8"/>
    <w:rsid w:val="005D4EC7"/>
    <w:rsid w:val="006006DF"/>
    <w:rsid w:val="007769B7"/>
    <w:rsid w:val="008C5D67"/>
    <w:rsid w:val="00920DC6"/>
    <w:rsid w:val="009E4F6F"/>
    <w:rsid w:val="00AC1C82"/>
    <w:rsid w:val="00B215A5"/>
    <w:rsid w:val="00B32654"/>
    <w:rsid w:val="00CA697D"/>
    <w:rsid w:val="00D22656"/>
    <w:rsid w:val="00D8313D"/>
    <w:rsid w:val="00D92426"/>
    <w:rsid w:val="00E77F79"/>
    <w:rsid w:val="00FD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B5ECFD-F242-4D5D-8982-B3A48E661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02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26B7"/>
  </w:style>
  <w:style w:type="paragraph" w:styleId="Pieddepage">
    <w:name w:val="footer"/>
    <w:basedOn w:val="Normal"/>
    <w:link w:val="PieddepageCar"/>
    <w:uiPriority w:val="99"/>
    <w:unhideWhenUsed/>
    <w:rsid w:val="00302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026B7"/>
  </w:style>
  <w:style w:type="paragraph" w:styleId="Paragraphedeliste">
    <w:name w:val="List Paragraph"/>
    <w:basedOn w:val="Normal"/>
    <w:uiPriority w:val="34"/>
    <w:qFormat/>
    <w:rsid w:val="00B21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4239</Characters>
  <Application>Microsoft Office Word</Application>
  <DocSecurity>0</DocSecurity>
  <Lines>35</Lines>
  <Paragraphs>9</Paragraphs>
  <ScaleCrop>false</ScaleCrop>
  <Company>Microsoft</Company>
  <LinksUpToDate>false</LinksUpToDate>
  <CharactersWithSpaces>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gaillard-delegue</dc:creator>
  <cp:keywords/>
  <dc:description/>
  <cp:lastModifiedBy>pauline gaillard-delegue</cp:lastModifiedBy>
  <cp:revision>23</cp:revision>
  <dcterms:created xsi:type="dcterms:W3CDTF">2016-10-07T13:33:00Z</dcterms:created>
  <dcterms:modified xsi:type="dcterms:W3CDTF">2016-10-07T14:43:00Z</dcterms:modified>
</cp:coreProperties>
</file>